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229A2DC8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6F00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BE652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8B5D26">
        <w:rPr>
          <w:b/>
          <w:noProof/>
          <w:sz w:val="24"/>
        </w:rPr>
        <w:t>08</w:t>
      </w:r>
      <w:r w:rsidR="000B6352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</w:t>
      </w:r>
      <w:r w:rsidR="00BE652E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 xml:space="preserve">                       </w:t>
      </w:r>
      <w:r w:rsidRPr="00711DCF">
        <w:rPr>
          <w:b/>
          <w:noProof/>
          <w:sz w:val="24"/>
        </w:rPr>
        <w:t>R</w:t>
      </w:r>
      <w:r w:rsidR="008B5D26"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="00916195">
        <w:rPr>
          <w:b/>
          <w:noProof/>
          <w:sz w:val="24"/>
        </w:rPr>
        <w:t>20</w:t>
      </w:r>
      <w:r w:rsidR="00F37072">
        <w:rPr>
          <w:b/>
          <w:noProof/>
          <w:sz w:val="24"/>
        </w:rPr>
        <w:t>3345</w:t>
      </w:r>
    </w:p>
    <w:p w14:paraId="6C48E420" w14:textId="32A8DACD" w:rsidR="002F32B4" w:rsidRPr="002D2634" w:rsidRDefault="00BE652E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June 1 – June 12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2531C6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2234DD02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3C1B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8B5D26">
        <w:rPr>
          <w:bCs/>
          <w:sz w:val="24"/>
          <w:lang w:val="pt-PT"/>
        </w:rPr>
        <w:t>13.2.4</w:t>
      </w:r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4FEC6B03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ED4D7B">
        <w:rPr>
          <w:rFonts w:ascii="Arial" w:hAnsi="Arial"/>
          <w:sz w:val="24"/>
        </w:rPr>
        <w:t xml:space="preserve">IAB </w:t>
      </w:r>
      <w:r w:rsidR="008B5D26">
        <w:rPr>
          <w:rFonts w:ascii="Arial" w:hAnsi="Arial"/>
          <w:sz w:val="24"/>
        </w:rPr>
        <w:t>–</w:t>
      </w:r>
      <w:r w:rsidR="00ED4D7B">
        <w:rPr>
          <w:rFonts w:ascii="Arial" w:hAnsi="Arial"/>
          <w:sz w:val="24"/>
        </w:rPr>
        <w:t xml:space="preserve"> </w:t>
      </w:r>
      <w:r w:rsidR="008B5D26">
        <w:rPr>
          <w:rFonts w:ascii="Arial" w:hAnsi="Arial"/>
          <w:sz w:val="24"/>
        </w:rPr>
        <w:t>IP address establishment for</w:t>
      </w:r>
      <w:r w:rsidR="00ED4D7B">
        <w:rPr>
          <w:rFonts w:ascii="Arial" w:hAnsi="Arial"/>
          <w:sz w:val="24"/>
        </w:rPr>
        <w:t xml:space="preserve"> F1-C over LT</w:t>
      </w:r>
      <w:r w:rsidR="00D80EE1">
        <w:rPr>
          <w:rFonts w:ascii="Arial" w:hAnsi="Arial"/>
          <w:sz w:val="24"/>
        </w:rPr>
        <w:t>E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3F056A4A" w:rsidR="00470FAE" w:rsidRPr="00470FAE" w:rsidRDefault="00470FAE" w:rsidP="00771BB5">
      <w:pPr>
        <w:pStyle w:val="Heading1"/>
        <w:numPr>
          <w:ilvl w:val="0"/>
          <w:numId w:val="19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05CD7779" w14:textId="77777777" w:rsidR="00D80EE1" w:rsidRDefault="00D80EE1" w:rsidP="00D80EE1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55FBFC28" w14:textId="3CF40F7C" w:rsidR="00D80EE1" w:rsidRPr="00EB0AED" w:rsidRDefault="00E857AD" w:rsidP="00E857AD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 w:rsidRPr="00EB0AED">
        <w:rPr>
          <w:rFonts w:ascii="Times New Roman" w:hAnsi="Times New Roman"/>
          <w:b w:val="0"/>
          <w:bCs/>
          <w:sz w:val="22"/>
          <w:szCs w:val="28"/>
        </w:rPr>
        <w:t>RAN</w:t>
      </w:r>
      <w:r w:rsidR="00BE652E">
        <w:rPr>
          <w:rFonts w:ascii="Times New Roman" w:hAnsi="Times New Roman"/>
          <w:b w:val="0"/>
          <w:bCs/>
          <w:sz w:val="22"/>
          <w:szCs w:val="28"/>
        </w:rPr>
        <w:t>2</w:t>
      </w:r>
      <w:r w:rsidRPr="00EB0AED">
        <w:rPr>
          <w:rFonts w:ascii="Times New Roman" w:hAnsi="Times New Roman"/>
          <w:b w:val="0"/>
          <w:bCs/>
          <w:sz w:val="22"/>
          <w:szCs w:val="28"/>
        </w:rPr>
        <w:t xml:space="preserve"> #10</w:t>
      </w:r>
      <w:r w:rsidR="00BE652E">
        <w:rPr>
          <w:rFonts w:ascii="Times New Roman" w:hAnsi="Times New Roman"/>
          <w:b w:val="0"/>
          <w:bCs/>
          <w:sz w:val="22"/>
          <w:szCs w:val="28"/>
        </w:rPr>
        <w:t>7e-bis</w:t>
      </w:r>
      <w:r w:rsidRPr="00EB0AED">
        <w:rPr>
          <w:rFonts w:ascii="Times New Roman" w:hAnsi="Times New Roman"/>
          <w:b w:val="0"/>
          <w:bCs/>
          <w:sz w:val="22"/>
          <w:szCs w:val="28"/>
        </w:rPr>
        <w:t xml:space="preserve"> agreed </w:t>
      </w:r>
      <w:r w:rsidR="00774488">
        <w:rPr>
          <w:rFonts w:ascii="Times New Roman" w:hAnsi="Times New Roman"/>
          <w:b w:val="0"/>
          <w:bCs/>
          <w:sz w:val="22"/>
          <w:szCs w:val="28"/>
        </w:rPr>
        <w:t xml:space="preserve">on F1-C transport over LTE/X2 </w:t>
      </w:r>
      <w:r w:rsidRPr="00EB0AED">
        <w:rPr>
          <w:rFonts w:ascii="Times New Roman" w:hAnsi="Times New Roman"/>
          <w:b w:val="0"/>
          <w:bCs/>
          <w:sz w:val="22"/>
          <w:szCs w:val="28"/>
        </w:rPr>
        <w:t>[1]</w:t>
      </w:r>
    </w:p>
    <w:tbl>
      <w:tblPr>
        <w:tblStyle w:val="TableGrid"/>
        <w:tblpPr w:leftFromText="180" w:rightFromText="180" w:vertAnchor="text" w:horzAnchor="margin" w:tblpY="22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0EE1" w14:paraId="62F8072A" w14:textId="77777777" w:rsidTr="00D80EE1">
        <w:tc>
          <w:tcPr>
            <w:tcW w:w="9350" w:type="dxa"/>
          </w:tcPr>
          <w:p w14:paraId="061AC630" w14:textId="77777777" w:rsidR="00774488" w:rsidRPr="00774488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F1-C IP packet over the LTE leg includes the SCTP/IP header.</w:t>
            </w:r>
          </w:p>
          <w:p w14:paraId="4C31E27F" w14:textId="77777777" w:rsidR="00774488" w:rsidRPr="00774488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When an LTE leg is configured, it can be used for F1-C. It is out of RAN3 scope to design how to perform the configuration.</w:t>
            </w:r>
          </w:p>
          <w:p w14:paraId="30CB11C8" w14:textId="77777777" w:rsidR="00774488" w:rsidRPr="003F506E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3F506E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 xml:space="preserve">It is up to Donor-CU to decide to only configure LTE leg, or only configure NR leg, or configure both LTE leg and NR leg, for F1-C. </w:t>
            </w:r>
          </w:p>
          <w:p w14:paraId="7975F1DB" w14:textId="77777777" w:rsidR="00774488" w:rsidRPr="00774488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When both LTE leg and NR leg are configured, it is up to node implementation to select a leg for F1-C transfer. </w:t>
            </w:r>
          </w:p>
          <w:p w14:paraId="3CCC5459" w14:textId="77777777" w:rsidR="00774488" w:rsidRPr="00774488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The existing security requirements for F1-C apply to F1-C over LTE leg as well. The F1-C over LTE leg reuses the existing security mechanisms for F1-C interface. </w:t>
            </w:r>
          </w:p>
          <w:p w14:paraId="05CCA27E" w14:textId="77777777" w:rsidR="00774488" w:rsidRPr="008B5D26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8B5D26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>Separate IP address pairs {IAB-DU’s IP address, CU’s IP address} should be used for NR leg and LTE leg.</w:t>
            </w:r>
          </w:p>
          <w:p w14:paraId="16826C2E" w14:textId="77777777" w:rsidR="00774488" w:rsidRPr="008B5D26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</w:pPr>
            <w:r w:rsidRPr="008B5D26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highlight w:val="yellow"/>
              </w:rPr>
              <w:t>FFS on whether same SA/NSA IP address allocation procedures for the IP address assignment for F1-C over LTE leg</w:t>
            </w:r>
          </w:p>
          <w:p w14:paraId="247CE13A" w14:textId="77777777" w:rsidR="00774488" w:rsidRPr="00774488" w:rsidRDefault="00774488" w:rsidP="00771BB5">
            <w:pPr>
              <w:pStyle w:val="ListParagraph"/>
              <w:widowControl w:val="0"/>
              <w:numPr>
                <w:ilvl w:val="0"/>
                <w:numId w:val="20"/>
              </w:numPr>
              <w:spacing w:after="120"/>
              <w:contextualSpacing w:val="0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774488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No impact to X2 interface on setting up LTE leg for F1-C.</w:t>
            </w:r>
          </w:p>
          <w:p w14:paraId="6E62E4FF" w14:textId="7F4E9E45" w:rsidR="00D80EE1" w:rsidRDefault="00D80EE1" w:rsidP="00774488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hAnsi="Times New Roman"/>
              </w:rPr>
            </w:pPr>
          </w:p>
        </w:tc>
      </w:tr>
    </w:tbl>
    <w:p w14:paraId="1A314A11" w14:textId="77777777" w:rsidR="00D80EE1" w:rsidRDefault="00D80EE1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5CB9BA55" w14:textId="560DE9EE" w:rsidR="00A25A17" w:rsidRPr="00EB0AED" w:rsidRDefault="00D80EE1" w:rsidP="00470FAE">
      <w:pPr>
        <w:spacing w:after="60" w:line="240" w:lineRule="auto"/>
        <w:rPr>
          <w:rFonts w:eastAsia="Times New Roman" w:cstheme="minorHAnsi"/>
          <w:lang w:val="en-GB" w:eastAsia="x-none"/>
        </w:rPr>
      </w:pPr>
      <w:r w:rsidRPr="00EB0AED">
        <w:rPr>
          <w:rFonts w:eastAsia="Times New Roman" w:cstheme="minorHAnsi"/>
          <w:lang w:val="en-GB" w:eastAsia="x-none"/>
        </w:rPr>
        <w:t xml:space="preserve">This paper </w:t>
      </w:r>
      <w:r w:rsidR="00EB0AED" w:rsidRPr="00EB0AED">
        <w:rPr>
          <w:rFonts w:eastAsia="Times New Roman" w:cstheme="minorHAnsi"/>
          <w:lang w:val="en-GB" w:eastAsia="x-none"/>
        </w:rPr>
        <w:t xml:space="preserve">discusses </w:t>
      </w:r>
      <w:r w:rsidR="00337742">
        <w:rPr>
          <w:rFonts w:eastAsia="Times New Roman" w:cstheme="minorHAnsi"/>
          <w:lang w:val="en-GB" w:eastAsia="x-none"/>
        </w:rPr>
        <w:t xml:space="preserve">remaining issues related to the usage of the LTE path by F1-C as well as </w:t>
      </w:r>
      <w:r w:rsidR="008B5D26">
        <w:rPr>
          <w:rFonts w:eastAsia="Times New Roman" w:cstheme="minorHAnsi"/>
          <w:lang w:val="en-GB" w:eastAsia="x-none"/>
        </w:rPr>
        <w:t>IP address configuration</w:t>
      </w:r>
      <w:r w:rsidR="00337742">
        <w:rPr>
          <w:rFonts w:eastAsia="Times New Roman" w:cstheme="minorHAnsi"/>
          <w:lang w:val="en-GB" w:eastAsia="x-none"/>
        </w:rPr>
        <w:t>.</w:t>
      </w:r>
    </w:p>
    <w:p w14:paraId="6801EAE1" w14:textId="54B5EAC5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0D2E5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04D55124" w14:textId="44933137" w:rsidR="00337742" w:rsidRDefault="00337742" w:rsidP="00337742">
      <w:pPr>
        <w:widowControl w:val="0"/>
        <w:spacing w:after="120"/>
      </w:pPr>
      <w:r>
        <w:t xml:space="preserve">Based on RAN3 agreement, </w:t>
      </w:r>
      <w:r w:rsidRPr="00337742">
        <w:t xml:space="preserve">IAB-donor </w:t>
      </w:r>
      <w:r>
        <w:t>decides if to</w:t>
      </w:r>
      <w:r w:rsidRPr="00337742">
        <w:t xml:space="preserve"> only configure LTE leg, or only configure NR leg, or configure both LTE leg and NR leg, for F1-C. </w:t>
      </w:r>
      <w:r>
        <w:t xml:space="preserve">The outcome of this decision must be communicated to the IAB-node before F1-C is established. This implies the IAB-donor informs the IAB-node via RRC if the LTE leg, NR leg or both </w:t>
      </w:r>
      <w:r w:rsidR="00D1458D">
        <w:t xml:space="preserve">legs are available </w:t>
      </w:r>
      <w:r>
        <w:t>for F1-C.</w:t>
      </w:r>
    </w:p>
    <w:p w14:paraId="67C93EF8" w14:textId="39016BB8" w:rsidR="00337742" w:rsidRPr="00337742" w:rsidRDefault="00337742" w:rsidP="00337742">
      <w:pPr>
        <w:widowControl w:val="0"/>
        <w:spacing w:after="120"/>
        <w:rPr>
          <w:b/>
          <w:bCs/>
        </w:rPr>
      </w:pPr>
      <w:r w:rsidRPr="00337742">
        <w:rPr>
          <w:b/>
          <w:bCs/>
        </w:rPr>
        <w:t>Proposal 1: The IAB-donor to inform the IAB-node via RRC signaling if only LTE leg, only NR leg, or both LTE leg and NR leg can be used for F1-C.</w:t>
      </w:r>
    </w:p>
    <w:p w14:paraId="5DC6E2A3" w14:textId="081EA1F9" w:rsidR="00337742" w:rsidRDefault="00337742" w:rsidP="00C97BE0"/>
    <w:p w14:paraId="13EBAA59" w14:textId="77777777" w:rsidR="00337742" w:rsidRDefault="00337742" w:rsidP="00C97BE0"/>
    <w:p w14:paraId="1EB7F650" w14:textId="6B595962" w:rsidR="0001432C" w:rsidRDefault="0001432C" w:rsidP="00C97BE0">
      <w:r>
        <w:lastRenderedPageBreak/>
        <w:t xml:space="preserve">The IP addresses used for F1-C over the LTE/X2 path are not used for routing purposes, and they can therefore be of link-local nature. </w:t>
      </w:r>
    </w:p>
    <w:p w14:paraId="0D679EA0" w14:textId="46F18B78" w:rsidR="003F506E" w:rsidRDefault="003F506E" w:rsidP="00C97BE0">
      <w:r>
        <w:t xml:space="preserve">Since the LTE/X2 path can be used as the primary path for F1-C, the IAB-node needs to know the CU’s IP address it should use for this path. Therefore, the CU has to inform the IAB-node about this IP address. The IAB-node itself can </w:t>
      </w:r>
      <w:r w:rsidR="00B57C33">
        <w:t>select</w:t>
      </w:r>
      <w:r>
        <w:t xml:space="preserve"> any other IP address that is not the same as the CU’s IP address.</w:t>
      </w:r>
    </w:p>
    <w:p w14:paraId="44520BD2" w14:textId="259229CD" w:rsidR="00C97BE0" w:rsidRDefault="00C97BE0" w:rsidP="00C97BE0">
      <w:pPr>
        <w:rPr>
          <w:b/>
          <w:bCs/>
        </w:rPr>
      </w:pPr>
      <w:r w:rsidRPr="00ED04FB">
        <w:rPr>
          <w:b/>
          <w:bCs/>
        </w:rPr>
        <w:t xml:space="preserve">Proposal </w:t>
      </w:r>
      <w:r w:rsidR="00337742">
        <w:rPr>
          <w:b/>
          <w:bCs/>
        </w:rPr>
        <w:t>2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IAB-donor to sen</w:t>
      </w:r>
      <w:r w:rsidR="003F506E">
        <w:rPr>
          <w:b/>
          <w:bCs/>
        </w:rPr>
        <w:t>d its IP address for the X2/LTE path to the IAB-node</w:t>
      </w:r>
      <w:r w:rsidR="00337742">
        <w:rPr>
          <w:b/>
          <w:bCs/>
        </w:rPr>
        <w:t xml:space="preserve"> via RRC</w:t>
      </w:r>
      <w:r>
        <w:rPr>
          <w:b/>
          <w:bCs/>
        </w:rPr>
        <w:t>.</w:t>
      </w:r>
    </w:p>
    <w:p w14:paraId="1038F0D6" w14:textId="5D07B2A6" w:rsidR="00771BB5" w:rsidRDefault="00771BB5" w:rsidP="007F4C08">
      <w:pPr>
        <w:rPr>
          <w:b/>
          <w:bCs/>
        </w:rPr>
      </w:pPr>
      <w:r>
        <w:rPr>
          <w:b/>
          <w:bCs/>
        </w:rPr>
        <w:t xml:space="preserve">Proposal </w:t>
      </w:r>
      <w:r w:rsidR="00337742">
        <w:rPr>
          <w:b/>
          <w:bCs/>
        </w:rPr>
        <w:t>3</w:t>
      </w:r>
      <w:r>
        <w:rPr>
          <w:b/>
          <w:bCs/>
        </w:rPr>
        <w:t xml:space="preserve">: An LS to be sent to RAN3 </w:t>
      </w:r>
      <w:r w:rsidR="00B57C33">
        <w:rPr>
          <w:b/>
          <w:bCs/>
        </w:rPr>
        <w:t>that capture</w:t>
      </w:r>
      <w:r>
        <w:rPr>
          <w:b/>
          <w:bCs/>
        </w:rPr>
        <w:t xml:space="preserve"> proposals 1 and 2.</w:t>
      </w:r>
    </w:p>
    <w:p w14:paraId="33D2135E" w14:textId="5F2A22C4" w:rsidR="006569DF" w:rsidRDefault="006569D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58DA9B15" w14:textId="69219FDD" w:rsidR="004323AE" w:rsidRDefault="00337742" w:rsidP="00AE6944">
      <w:pPr>
        <w:spacing w:after="60" w:line="240" w:lineRule="auto"/>
      </w:pPr>
      <w:r w:rsidRPr="00EB0AED">
        <w:rPr>
          <w:rFonts w:eastAsia="Times New Roman" w:cstheme="minorHAnsi"/>
          <w:lang w:val="en-GB" w:eastAsia="x-none"/>
        </w:rPr>
        <w:t>This paper discusse</w:t>
      </w:r>
      <w:r>
        <w:rPr>
          <w:rFonts w:eastAsia="Times New Roman" w:cstheme="minorHAnsi"/>
          <w:lang w:val="en-GB" w:eastAsia="x-none"/>
        </w:rPr>
        <w:t>d</w:t>
      </w:r>
      <w:r w:rsidRPr="00EB0AED">
        <w:rPr>
          <w:rFonts w:eastAsia="Times New Roman" w:cstheme="minorHAnsi"/>
          <w:lang w:val="en-GB" w:eastAsia="x-none"/>
        </w:rPr>
        <w:t xml:space="preserve"> </w:t>
      </w:r>
      <w:r>
        <w:rPr>
          <w:rFonts w:eastAsia="Times New Roman" w:cstheme="minorHAnsi"/>
          <w:lang w:val="en-GB" w:eastAsia="x-none"/>
        </w:rPr>
        <w:t>remaining issues related to the usage of the LTE path by F1-C as well as IP address configuration.</w:t>
      </w:r>
      <w:r>
        <w:rPr>
          <w:rFonts w:eastAsia="Times New Roman" w:cstheme="minorHAnsi"/>
          <w:lang w:val="en-GB" w:eastAsia="x-none"/>
        </w:rPr>
        <w:t xml:space="preserve"> </w:t>
      </w:r>
      <w:r w:rsidR="004323AE" w:rsidRPr="00AE6944">
        <w:t>The following proposals have been made:</w:t>
      </w:r>
    </w:p>
    <w:p w14:paraId="38191D04" w14:textId="77777777" w:rsidR="00B57C33" w:rsidRPr="00337742" w:rsidRDefault="00B57C33" w:rsidP="00B57C33">
      <w:pPr>
        <w:widowControl w:val="0"/>
        <w:spacing w:after="120"/>
        <w:rPr>
          <w:b/>
          <w:bCs/>
        </w:rPr>
      </w:pPr>
      <w:r w:rsidRPr="00337742">
        <w:rPr>
          <w:b/>
          <w:bCs/>
        </w:rPr>
        <w:t>Proposal 1: The IAB-donor to inform the IAB-node via RRC signaling if only LTE leg, only NR leg, or both LTE leg and NR leg can be used for F1-C.</w:t>
      </w:r>
    </w:p>
    <w:p w14:paraId="7C4C6C4C" w14:textId="77777777" w:rsidR="00B57C33" w:rsidRDefault="00B57C33" w:rsidP="00B57C33">
      <w:pPr>
        <w:rPr>
          <w:b/>
          <w:bCs/>
        </w:rPr>
      </w:pPr>
      <w:bookmarkStart w:id="1" w:name="_GoBack"/>
      <w:bookmarkEnd w:id="1"/>
      <w:r w:rsidRPr="00ED04FB">
        <w:rPr>
          <w:b/>
          <w:bCs/>
        </w:rPr>
        <w:t xml:space="preserve">Proposal </w:t>
      </w:r>
      <w:r>
        <w:rPr>
          <w:b/>
          <w:bCs/>
        </w:rPr>
        <w:t>2</w:t>
      </w:r>
      <w:r w:rsidRPr="00ED04FB">
        <w:rPr>
          <w:b/>
          <w:bCs/>
        </w:rPr>
        <w:t xml:space="preserve">: </w:t>
      </w:r>
      <w:r>
        <w:rPr>
          <w:b/>
          <w:bCs/>
        </w:rPr>
        <w:t>The IAB-donor to send its IP address for the X2/LTE path to the IAB-node via RRC.</w:t>
      </w:r>
    </w:p>
    <w:p w14:paraId="1AE39D31" w14:textId="77777777" w:rsidR="00B57C33" w:rsidRDefault="00B57C33" w:rsidP="00B57C33">
      <w:pPr>
        <w:rPr>
          <w:b/>
          <w:bCs/>
        </w:rPr>
      </w:pPr>
      <w:r>
        <w:rPr>
          <w:b/>
          <w:bCs/>
        </w:rPr>
        <w:t>Proposal 3: An LS to be sent to RAN3 that capture proposals 1 and 2.</w:t>
      </w:r>
    </w:p>
    <w:p w14:paraId="7B8E75AE" w14:textId="77777777" w:rsidR="00EB0AED" w:rsidRPr="00AE6944" w:rsidRDefault="00EB0AED" w:rsidP="00AE6944">
      <w:pPr>
        <w:spacing w:after="60" w:line="240" w:lineRule="auto"/>
      </w:pPr>
    </w:p>
    <w:p w14:paraId="31C99A1B" w14:textId="7ED875D2" w:rsidR="004B452C" w:rsidRPr="004B452C" w:rsidRDefault="004B452C" w:rsidP="004B452C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4FE4088E" w14:textId="672A2F49" w:rsidR="002F6D69" w:rsidRPr="0097779E" w:rsidRDefault="00CE1E9A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[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] Chairman notes, 3GPP TSG RAN WG3 Meeting #10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7e</w:t>
      </w:r>
      <w:r>
        <w:rPr>
          <w:rFonts w:ascii="Times New Roman" w:hAnsi="Times New Roman" w:cs="Times New Roman"/>
          <w:sz w:val="20"/>
          <w:szCs w:val="20"/>
          <w:lang w:val="en-GB"/>
        </w:rPr>
        <w:t>-bis</w:t>
      </w:r>
      <w:r w:rsidR="002F6D69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Electronic Meeting, </w:t>
      </w:r>
      <w:r>
        <w:rPr>
          <w:rFonts w:ascii="Times New Roman" w:hAnsi="Times New Roman" w:cs="Times New Roman"/>
          <w:sz w:val="20"/>
          <w:szCs w:val="20"/>
          <w:lang w:val="en-GB"/>
        </w:rPr>
        <w:t>April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/>
          <w:sz w:val="20"/>
          <w:szCs w:val="20"/>
          <w:lang w:val="en-GB"/>
        </w:rPr>
        <w:t>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– </w:t>
      </w:r>
      <w:r>
        <w:rPr>
          <w:rFonts w:ascii="Times New Roman" w:hAnsi="Times New Roman" w:cs="Times New Roman"/>
          <w:sz w:val="20"/>
          <w:szCs w:val="20"/>
          <w:lang w:val="en-GB"/>
        </w:rPr>
        <w:t>April 30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2F6D69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20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20</w:t>
      </w:r>
      <w:r w:rsidR="002F6D69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   </w:t>
      </w:r>
    </w:p>
    <w:bookmarkEnd w:id="0"/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F5046" w:rsidRPr="004B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D85829"/>
    <w:multiLevelType w:val="hybridMultilevel"/>
    <w:tmpl w:val="E7A085DC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14"/>
  </w:num>
  <w:num w:numId="7">
    <w:abstractNumId w:val="4"/>
  </w:num>
  <w:num w:numId="8">
    <w:abstractNumId w:val="11"/>
  </w:num>
  <w:num w:numId="9">
    <w:abstractNumId w:val="15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"/>
  </w:num>
  <w:num w:numId="16">
    <w:abstractNumId w:val="13"/>
  </w:num>
  <w:num w:numId="17">
    <w:abstractNumId w:val="18"/>
  </w:num>
  <w:num w:numId="18">
    <w:abstractNumId w:val="2"/>
  </w:num>
  <w:num w:numId="19">
    <w:abstractNumId w:val="10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73F4"/>
    <w:rsid w:val="0001033D"/>
    <w:rsid w:val="000105BB"/>
    <w:rsid w:val="000115FD"/>
    <w:rsid w:val="0001432C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90475"/>
    <w:rsid w:val="000939C5"/>
    <w:rsid w:val="00093AA2"/>
    <w:rsid w:val="00094EF5"/>
    <w:rsid w:val="000A2972"/>
    <w:rsid w:val="000A34F6"/>
    <w:rsid w:val="000B0391"/>
    <w:rsid w:val="000B4528"/>
    <w:rsid w:val="000B596A"/>
    <w:rsid w:val="000B6352"/>
    <w:rsid w:val="000C2272"/>
    <w:rsid w:val="000C62DC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31F0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62DE"/>
    <w:rsid w:val="002A13B0"/>
    <w:rsid w:val="002A178E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37742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C31"/>
    <w:rsid w:val="00395F08"/>
    <w:rsid w:val="003A29BD"/>
    <w:rsid w:val="003A63FD"/>
    <w:rsid w:val="003B08DE"/>
    <w:rsid w:val="003B6385"/>
    <w:rsid w:val="003D0CFB"/>
    <w:rsid w:val="003D1E49"/>
    <w:rsid w:val="003D4443"/>
    <w:rsid w:val="003E5E57"/>
    <w:rsid w:val="003F506E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3289A"/>
    <w:rsid w:val="00542268"/>
    <w:rsid w:val="00543422"/>
    <w:rsid w:val="005459AC"/>
    <w:rsid w:val="005468D5"/>
    <w:rsid w:val="00557200"/>
    <w:rsid w:val="005611F0"/>
    <w:rsid w:val="00572955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6D1B"/>
    <w:rsid w:val="005B2852"/>
    <w:rsid w:val="005B2CFD"/>
    <w:rsid w:val="005B367F"/>
    <w:rsid w:val="005B7ECD"/>
    <w:rsid w:val="005C6CF7"/>
    <w:rsid w:val="005D1651"/>
    <w:rsid w:val="005D3801"/>
    <w:rsid w:val="005D4843"/>
    <w:rsid w:val="005D7CB2"/>
    <w:rsid w:val="005E0469"/>
    <w:rsid w:val="005E3D27"/>
    <w:rsid w:val="005E4EE0"/>
    <w:rsid w:val="005E5199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5CBE"/>
    <w:rsid w:val="006E65FF"/>
    <w:rsid w:val="006E6779"/>
    <w:rsid w:val="006F138E"/>
    <w:rsid w:val="006F1D68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71BB5"/>
    <w:rsid w:val="00774488"/>
    <w:rsid w:val="00782263"/>
    <w:rsid w:val="00783891"/>
    <w:rsid w:val="0078665D"/>
    <w:rsid w:val="00787462"/>
    <w:rsid w:val="00797B26"/>
    <w:rsid w:val="007A534C"/>
    <w:rsid w:val="007B0420"/>
    <w:rsid w:val="007C07AB"/>
    <w:rsid w:val="007E253B"/>
    <w:rsid w:val="007E2FA7"/>
    <w:rsid w:val="007E609B"/>
    <w:rsid w:val="007F014C"/>
    <w:rsid w:val="007F01F2"/>
    <w:rsid w:val="007F1CDB"/>
    <w:rsid w:val="007F4C08"/>
    <w:rsid w:val="007F5484"/>
    <w:rsid w:val="007F67C3"/>
    <w:rsid w:val="007F7229"/>
    <w:rsid w:val="007F79CB"/>
    <w:rsid w:val="00805215"/>
    <w:rsid w:val="00814BD8"/>
    <w:rsid w:val="00816E35"/>
    <w:rsid w:val="0081723A"/>
    <w:rsid w:val="00821B1D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5D26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303E9"/>
    <w:rsid w:val="0093108A"/>
    <w:rsid w:val="00932838"/>
    <w:rsid w:val="00933239"/>
    <w:rsid w:val="0093348A"/>
    <w:rsid w:val="00933CB9"/>
    <w:rsid w:val="009347B0"/>
    <w:rsid w:val="00936361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15C81"/>
    <w:rsid w:val="00A242A9"/>
    <w:rsid w:val="00A25A17"/>
    <w:rsid w:val="00A2677D"/>
    <w:rsid w:val="00A27F4A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57C33"/>
    <w:rsid w:val="00B6112D"/>
    <w:rsid w:val="00B624FC"/>
    <w:rsid w:val="00B64E63"/>
    <w:rsid w:val="00B700BC"/>
    <w:rsid w:val="00B72B8C"/>
    <w:rsid w:val="00B73E27"/>
    <w:rsid w:val="00B74984"/>
    <w:rsid w:val="00B751B9"/>
    <w:rsid w:val="00B83198"/>
    <w:rsid w:val="00B8453D"/>
    <w:rsid w:val="00B848FF"/>
    <w:rsid w:val="00B84A9A"/>
    <w:rsid w:val="00B8669C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40BE"/>
    <w:rsid w:val="00BE652E"/>
    <w:rsid w:val="00BF18F5"/>
    <w:rsid w:val="00BF31B2"/>
    <w:rsid w:val="00BF5B00"/>
    <w:rsid w:val="00BF6E5B"/>
    <w:rsid w:val="00C022EE"/>
    <w:rsid w:val="00C14463"/>
    <w:rsid w:val="00C15BCF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97BE0"/>
    <w:rsid w:val="00CA2A91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E0BA9"/>
    <w:rsid w:val="00CE1E9A"/>
    <w:rsid w:val="00CE2DA9"/>
    <w:rsid w:val="00CE36C7"/>
    <w:rsid w:val="00CE5148"/>
    <w:rsid w:val="00CF7501"/>
    <w:rsid w:val="00D11903"/>
    <w:rsid w:val="00D1396C"/>
    <w:rsid w:val="00D1458D"/>
    <w:rsid w:val="00D2505B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603DC"/>
    <w:rsid w:val="00D631AA"/>
    <w:rsid w:val="00D63427"/>
    <w:rsid w:val="00D66D48"/>
    <w:rsid w:val="00D73C94"/>
    <w:rsid w:val="00D74686"/>
    <w:rsid w:val="00D74978"/>
    <w:rsid w:val="00D7786E"/>
    <w:rsid w:val="00D80EE1"/>
    <w:rsid w:val="00D810F8"/>
    <w:rsid w:val="00D82E27"/>
    <w:rsid w:val="00D85117"/>
    <w:rsid w:val="00D9679D"/>
    <w:rsid w:val="00D977C3"/>
    <w:rsid w:val="00DA1ABF"/>
    <w:rsid w:val="00DA7BC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4CA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4DBE"/>
    <w:rsid w:val="00E857AD"/>
    <w:rsid w:val="00E92FBA"/>
    <w:rsid w:val="00E946A9"/>
    <w:rsid w:val="00E947B5"/>
    <w:rsid w:val="00E94DB7"/>
    <w:rsid w:val="00E95166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7B"/>
    <w:rsid w:val="00ED4D7B"/>
    <w:rsid w:val="00ED4F94"/>
    <w:rsid w:val="00ED5193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072"/>
    <w:rsid w:val="00F37B86"/>
    <w:rsid w:val="00F410E0"/>
    <w:rsid w:val="00F41C74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1350"/>
    <w:rsid w:val="00F63D17"/>
    <w:rsid w:val="00F70F04"/>
    <w:rsid w:val="00F803DF"/>
    <w:rsid w:val="00F85B79"/>
    <w:rsid w:val="00F87326"/>
    <w:rsid w:val="00F91D58"/>
    <w:rsid w:val="00F9395A"/>
    <w:rsid w:val="00FA2B8F"/>
    <w:rsid w:val="00FA2DA5"/>
    <w:rsid w:val="00FA7B85"/>
    <w:rsid w:val="00FB28FB"/>
    <w:rsid w:val="00FB36D0"/>
    <w:rsid w:val="00FB5D02"/>
    <w:rsid w:val="00FB658B"/>
    <w:rsid w:val="00FB7E4B"/>
    <w:rsid w:val="00FC12EC"/>
    <w:rsid w:val="00FC3093"/>
    <w:rsid w:val="00FC3157"/>
    <w:rsid w:val="00FD0113"/>
    <w:rsid w:val="00FE1450"/>
    <w:rsid w:val="00FE3588"/>
    <w:rsid w:val="00FE4E4B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character" w:styleId="Strong">
    <w:name w:val="Strong"/>
    <w:basedOn w:val="DefaultParagraphFont"/>
    <w:uiPriority w:val="22"/>
    <w:qFormat/>
    <w:rsid w:val="006F1D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DA8DC7-D06B-440B-9349-69199D17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QC-10</cp:lastModifiedBy>
  <cp:revision>5</cp:revision>
  <dcterms:created xsi:type="dcterms:W3CDTF">2020-05-21T15:56:00Z</dcterms:created>
  <dcterms:modified xsi:type="dcterms:W3CDTF">2020-05-21T17:53:00Z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